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הגירה – אנשים נעים במרחב</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מהי הגירה ואילו סוגים שלה קיימים</w:t>
      </w:r>
    </w:p>
    <w:p>
      <w:pPr>
        <w:bidi/>
        <w:spacing w:after="80"/>
        <w:jc w:val="right"/>
      </w:pPr>
      <w:r>
        <w:rPr>
          <w:rFonts w:ascii="Arial" w:hAnsi="Arial" w:cs="Arial" w:eastAsia="Arial"/>
          <w:lang w:val="he-IL" w:bidi="he-IL"/>
          <w:sz w:val="22"/>
          <w:rtl/>
          <w:szCs w:val="22"/>
        </w:rPr>
        <w:t>• להכיר גורמי דחיפה וגורמי משיכה בהגירה</w:t>
      </w:r>
    </w:p>
    <w:p>
      <w:pPr>
        <w:bidi/>
        <w:spacing w:after="80"/>
        <w:jc w:val="right"/>
      </w:pPr>
      <w:r>
        <w:rPr>
          <w:rFonts w:ascii="Arial" w:hAnsi="Arial" w:cs="Arial" w:eastAsia="Arial"/>
          <w:lang w:val="he-IL" w:bidi="he-IL"/>
          <w:sz w:val="22"/>
          <w:rtl/>
          <w:szCs w:val="22"/>
        </w:rPr>
        <w:t>• לנתח השפעות הגירה על מקום המוצא ומקום היעד</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המושגים</w:t>
      </w:r>
    </w:p>
    <w:p>
      <w:pPr>
        <w:bidi/>
        <w:spacing w:after="40"/>
        <w:jc w:val="right"/>
      </w:pPr>
      <w:r>
        <w:rPr>
          <w:rFonts w:ascii="Arial" w:hAnsi="Arial" w:cs="Arial" w:eastAsia="Arial"/>
          <w:lang w:val="he-IL" w:bidi="he-IL"/>
          <w:sz w:val="22"/>
          <w:rtl/>
          <w:szCs w:val="22"/>
        </w:rPr>
        <w:t>1. ב – מעבר קבוע או ארוך טווח ממקום מגורים אחד לאחר</w:t>
      </w:r>
    </w:p>
    <w:p>
      <w:pPr>
        <w:bidi/>
        <w:spacing w:after="40"/>
        <w:jc w:val="right"/>
      </w:pPr>
      <w:r>
        <w:rPr>
          <w:rFonts w:ascii="Arial" w:hAnsi="Arial" w:cs="Arial" w:eastAsia="Arial"/>
          <w:lang w:val="he-IL" w:bidi="he-IL"/>
          <w:sz w:val="22"/>
          <w:rtl/>
          <w:szCs w:val="22"/>
        </w:rPr>
        <w:t>2. ב – תנאים במקום המוצא שגורמים לעזוב</w:t>
      </w:r>
    </w:p>
    <w:p>
      <w:pPr>
        <w:bidi/>
        <w:spacing w:after="40"/>
        <w:jc w:val="right"/>
      </w:pPr>
      <w:r>
        <w:rPr>
          <w:rFonts w:ascii="Arial" w:hAnsi="Arial" w:cs="Arial" w:eastAsia="Arial"/>
          <w:lang w:val="he-IL" w:bidi="he-IL"/>
          <w:sz w:val="22"/>
          <w:rtl/>
          <w:szCs w:val="22"/>
        </w:rPr>
        <w:t>3. ב – דברים שמושכים אנשים ליעד החדש</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הגירה היא מעבר קבוע או ארוך טווח</w:t>
      </w:r>
    </w:p>
    <w:p>
      <w:pPr>
        <w:bidi/>
        <w:spacing w:after="40"/>
        <w:jc w:val="right"/>
      </w:pPr>
      <w:r>
        <w:rPr>
          <w:rFonts w:ascii="Arial" w:hAnsi="Arial" w:cs="Arial" w:eastAsia="Arial"/>
          <w:lang w:val="he-IL" w:bidi="he-IL"/>
          <w:sz w:val="22"/>
          <w:rtl/>
          <w:szCs w:val="22"/>
        </w:rPr>
        <w:t>2. נכון – אלה תנאים שמרחיקים אנשים מהמקום</w:t>
      </w:r>
    </w:p>
    <w:p>
      <w:pPr>
        <w:bidi/>
        <w:spacing w:after="40"/>
        <w:jc w:val="right"/>
      </w:pPr>
      <w:r>
        <w:rPr>
          <w:rFonts w:ascii="Arial" w:hAnsi="Arial" w:cs="Arial" w:eastAsia="Arial"/>
          <w:lang w:val="he-IL" w:bidi="he-IL"/>
          <w:sz w:val="22"/>
          <w:rtl/>
          <w:szCs w:val="22"/>
        </w:rPr>
        <w:t>3. נכון – אלה דברים שמושכים למקום החדש</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הגירה</w:t>
      </w:r>
    </w:p>
    <w:p>
      <w:pPr>
        <w:bidi/>
        <w:spacing w:after="40"/>
        <w:jc w:val="right"/>
      </w:pPr>
      <w:r>
        <w:rPr>
          <w:rFonts w:ascii="Arial" w:hAnsi="Arial" w:cs="Arial" w:eastAsia="Arial"/>
          <w:lang w:val="he-IL" w:bidi="he-IL"/>
          <w:sz w:val="22"/>
          <w:rtl/>
          <w:szCs w:val="22"/>
        </w:rPr>
        <w:t>2. דחיפה</w:t>
      </w:r>
    </w:p>
    <w:p>
      <w:pPr>
        <w:bidi/>
        <w:spacing w:after="40"/>
        <w:jc w:val="right"/>
      </w:pPr>
      <w:r>
        <w:rPr>
          <w:rFonts w:ascii="Arial" w:hAnsi="Arial" w:cs="Arial" w:eastAsia="Arial"/>
          <w:lang w:val="he-IL" w:bidi="he-IL"/>
          <w:sz w:val="22"/>
          <w:rtl/>
          <w:szCs w:val="22"/>
        </w:rPr>
        <w:t>3. משיכה</w:t>
      </w:r>
    </w:p>
    <w:p>
      <w:pPr>
        <w:bidi/>
        <w:pStyle w:val="Heading3"/>
        <w:spacing w:after="80"/>
        <w:jc w:val="right"/>
      </w:pPr>
      <w:r>
        <w:rPr>
          <w:rFonts w:ascii="Arial" w:hAnsi="Arial" w:cs="Arial" w:eastAsia="Arial"/>
          <w:lang w:val="he-IL" w:bidi="he-IL"/>
          <w:b/>
          <w:color w:val="38A169"/>
          <w:sz w:val="26"/>
          <w:rtl/>
          <w:szCs w:val="26"/>
          <w:bCs/>
        </w:rPr>
        <w:t>חלק ד׳ – התאימו דוגמה לסוג הגורם</w:t>
      </w:r>
    </w:p>
    <w:p>
      <w:pPr>
        <w:bidi/>
        <w:spacing w:after="40"/>
        <w:jc w:val="right"/>
      </w:pPr>
      <w:r>
        <w:rPr>
          <w:rFonts w:ascii="Arial" w:hAnsi="Arial" w:cs="Arial" w:eastAsia="Arial"/>
          <w:lang w:val="he-IL" w:bidi="he-IL"/>
          <w:sz w:val="22"/>
          <w:rtl/>
          <w:szCs w:val="22"/>
        </w:rPr>
        <w:t>1 – ג (גורם דחיפה)</w:t>
      </w:r>
    </w:p>
    <w:p>
      <w:pPr>
        <w:bidi/>
        <w:spacing w:after="40"/>
        <w:jc w:val="right"/>
      </w:pPr>
      <w:r>
        <w:rPr>
          <w:rFonts w:ascii="Arial" w:hAnsi="Arial" w:cs="Arial" w:eastAsia="Arial"/>
          <w:lang w:val="he-IL" w:bidi="he-IL"/>
          <w:sz w:val="22"/>
          <w:rtl/>
          <w:szCs w:val="22"/>
        </w:rPr>
        <w:t>2 – ד (גורם משיכה)</w:t>
      </w:r>
    </w:p>
    <w:p>
      <w:pPr>
        <w:bidi/>
        <w:spacing w:after="40"/>
        <w:jc w:val="right"/>
      </w:pPr>
      <w:r>
        <w:rPr>
          <w:rFonts w:ascii="Arial" w:hAnsi="Arial" w:cs="Arial" w:eastAsia="Arial"/>
          <w:lang w:val="he-IL" w:bidi="he-IL"/>
          <w:sz w:val="22"/>
          <w:rtl/>
          <w:szCs w:val="22"/>
        </w:rPr>
        <w:t>3 – א (גורם דחיפה)</w:t>
      </w:r>
    </w:p>
    <w:p>
      <w:pPr>
        <w:bidi/>
        <w:spacing w:after="40"/>
        <w:jc w:val="right"/>
      </w:pPr>
      <w:r>
        <w:rPr>
          <w:rFonts w:ascii="Arial" w:hAnsi="Arial" w:cs="Arial" w:eastAsia="Arial"/>
          <w:lang w:val="he-IL" w:bidi="he-IL"/>
          <w:sz w:val="22"/>
          <w:rtl/>
          <w:szCs w:val="22"/>
        </w:rPr>
        <w:t>4 – ב (גורם משיכה)</w:t>
      </w:r>
    </w:p>
    <w:p>
      <w:pPr>
        <w:bidi/>
        <w:pStyle w:val="Heading3"/>
        <w:spacing w:after="80"/>
        <w:jc w:val="right"/>
      </w:pPr>
      <w:r>
        <w:rPr>
          <w:rFonts w:ascii="Arial" w:hAnsi="Arial" w:cs="Arial" w:eastAsia="Arial"/>
          <w:lang w:val="he-IL" w:bidi="he-IL"/>
          <w:b/>
          <w:color w:val="805AD5"/>
          <w:sz w:val="26"/>
          <w:rtl/>
          <w:szCs w:val="26"/>
          <w:bCs/>
        </w:rPr>
        <w:t>חלק ה׳ – מסע ההגירה – סדרו לפי השלבים ההגיוניים</w:t>
      </w:r>
    </w:p>
    <w:p>
      <w:pPr>
        <w:bidi/>
        <w:spacing w:after="40"/>
        <w:jc w:val="right"/>
      </w:pPr>
      <w:r>
        <w:rPr>
          <w:rFonts w:ascii="Arial" w:hAnsi="Arial" w:cs="Arial" w:eastAsia="Arial"/>
          <w:lang w:val="he-IL" w:bidi="he-IL"/>
          <w:sz w:val="22"/>
          <w:rtl/>
          <w:szCs w:val="22"/>
        </w:rPr>
        <w:t>1. קיום תנאים קשים במקום המוצא (גורמי דחיפה)</w:t>
      </w:r>
    </w:p>
    <w:p>
      <w:pPr>
        <w:bidi/>
        <w:spacing w:after="40"/>
        <w:jc w:val="right"/>
      </w:pPr>
      <w:r>
        <w:rPr>
          <w:rFonts w:ascii="Arial" w:hAnsi="Arial" w:cs="Arial" w:eastAsia="Arial"/>
          <w:lang w:val="he-IL" w:bidi="he-IL"/>
          <w:sz w:val="22"/>
          <w:rtl/>
          <w:szCs w:val="22"/>
        </w:rPr>
        <w:t>2. שמיעה על הזדמנויות במקום אחר (גורמי משיכה)</w:t>
      </w:r>
    </w:p>
    <w:p>
      <w:pPr>
        <w:bidi/>
        <w:spacing w:after="40"/>
        <w:jc w:val="right"/>
      </w:pPr>
      <w:r>
        <w:rPr>
          <w:rFonts w:ascii="Arial" w:hAnsi="Arial" w:cs="Arial" w:eastAsia="Arial"/>
          <w:lang w:val="he-IL" w:bidi="he-IL"/>
          <w:sz w:val="22"/>
          <w:rtl/>
          <w:szCs w:val="22"/>
        </w:rPr>
        <w:t>3. החלטה לעזוב ולתכנן את המעבר</w:t>
      </w:r>
    </w:p>
    <w:p>
      <w:pPr>
        <w:bidi/>
        <w:spacing w:after="40"/>
        <w:jc w:val="right"/>
      </w:pPr>
      <w:r>
        <w:rPr>
          <w:rFonts w:ascii="Arial" w:hAnsi="Arial" w:cs="Arial" w:eastAsia="Arial"/>
          <w:lang w:val="he-IL" w:bidi="he-IL"/>
          <w:sz w:val="22"/>
          <w:rtl/>
          <w:szCs w:val="22"/>
        </w:rPr>
        <w:t>4. המעבר עצמו למקום החדש</w:t>
      </w:r>
    </w:p>
    <w:p>
      <w:pPr>
        <w:bidi/>
        <w:pStyle w:val="Heading3"/>
        <w:spacing w:after="80"/>
        <w:jc w:val="right"/>
      </w:pPr>
      <w:r>
        <w:rPr>
          <w:rFonts w:ascii="Arial" w:hAnsi="Arial" w:cs="Arial" w:eastAsia="Arial"/>
          <w:lang w:val="he-IL" w:bidi="he-IL"/>
          <w:b/>
          <w:color w:val="D53F8C"/>
          <w:sz w:val="26"/>
          <w:rtl/>
          <w:szCs w:val="26"/>
          <w:bCs/>
        </w:rPr>
        <w:t>חלק ו׳ – חשיבה וכתיבה</w:t>
      </w:r>
    </w:p>
    <w:p>
      <w:pPr>
        <w:bidi/>
        <w:spacing w:after="40"/>
        <w:jc w:val="right"/>
      </w:pPr>
      <w:r>
        <w:rPr>
          <w:rFonts w:ascii="Arial" w:hAnsi="Arial" w:cs="Arial" w:eastAsia="Arial"/>
          <w:lang w:val="he-IL" w:bidi="he-IL"/>
          <w:sz w:val="22"/>
          <w:rtl/>
          <w:szCs w:val="22"/>
        </w:rPr>
        <w:t>1. תלמידים יכתבו גורמים נכונים (למשל מלחמה, רעב, עבודה, חינוך) עם דוגמה היסטורית או עכשווית מתאימה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דחיפה מרחיק, משיכה מושך למקום החדש</w:t>
      </w:r>
    </w:p>
    <w:p>
      <w:pPr>
        <w:bidi/>
        <w:spacing w:after="80"/>
        <w:jc w:val="right"/>
      </w:pPr>
      <w:r>
        <w:rPr>
          <w:rFonts w:ascii="Arial" w:hAnsi="Arial" w:cs="Arial" w:eastAsia="Arial"/>
          <w:lang w:val="he-IL" w:bidi="he-IL"/>
          <w:sz w:val="22"/>
          <w:rtl/>
          <w:szCs w:val="22"/>
        </w:rPr>
        <w:t>• פליט ברח מסכנה, מהגר מרצון בחר לעבור מיוזמתו</w:t>
      </w:r>
    </w:p>
    <w:p>
      <w:pPr>
        <w:bidi/>
        <w:spacing w:after="80"/>
        <w:jc w:val="right"/>
      </w:pPr>
      <w:r>
        <w:rPr>
          <w:rFonts w:ascii="Arial" w:hAnsi="Arial" w:cs="Arial" w:eastAsia="Arial"/>
          <w:lang w:val="he-IL" w:bidi="he-IL"/>
          <w:sz w:val="22"/>
          <w:rtl/>
          <w:szCs w:val="22"/>
        </w:rPr>
        <w:t>• למשל בריחת מוחות או כספים שנשלחים הביתה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בשיחה קצרה על סיפורי הגירה משפחתיים כדי לחבר את התלמידים לנושא באופן אישי</w:t>
      </w:r>
    </w:p>
    <w:p>
      <w:pPr>
        <w:bidi/>
        <w:spacing w:after="80"/>
        <w:jc w:val="right"/>
      </w:pPr>
      <w:r>
        <w:rPr>
          <w:rFonts w:ascii="Arial" w:hAnsi="Arial" w:cs="Arial" w:eastAsia="Arial"/>
          <w:lang w:val="he-IL" w:bidi="he-IL"/>
          <w:sz w:val="22"/>
          <w:rtl/>
          <w:szCs w:val="22"/>
        </w:rPr>
        <w:t>• בדיון על הדילמה המשפחתית כדאי להדגיש גם את הצד הרגשי של הגירה ולא רק את הצד הכלכלי</w:t>
      </w:r>
    </w:p>
    <w:p>
      <w:pPr>
        <w:bidi/>
        <w:spacing w:after="80"/>
        <w:jc w:val="right"/>
      </w:pPr>
      <w:r>
        <w:rPr>
          <w:rFonts w:ascii="Arial" w:hAnsi="Arial" w:cs="Arial" w:eastAsia="Arial"/>
          <w:lang w:val="he-IL" w:bidi="he-IL"/>
          <w:sz w:val="22"/>
          <w:rtl/>
          <w:szCs w:val="22"/>
        </w:rPr>
        <w:t>• ניתן לחלק לקבוצות לכתיבת שני צדי הדעה בתרגיל המאמרים כדי לתרגל חשיבה מאוזנת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הגירה – אנשים נעים במרחב</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בני אדם נעים ממקום למקום כבר אלפי שנים, מסיבות שונות. בדף זה נלמד מהי הגירה, מה גורם לה, ואיך היא משפיעה על המקומות שמהם אנשים עוזבים ועל המקומות שאליהם הם מגיעים.</w:t>
      </w:r>
    </w:p>
    <w:p>
      <w:pPr>
        <w:bidi/>
        <w:spacing w:after="80"/>
        <w:jc w:val="right"/>
      </w:pPr>
      <w:r>
        <w:rPr>
          <w:rFonts w:ascii="Arial" w:hAnsi="Arial" w:cs="Arial" w:eastAsia="Arial"/>
          <w:lang w:val="he-IL" w:bidi="he-IL"/>
          <w:b/>
          <w:color w:val="7B341E"/>
          <w:sz w:val="32"/>
          <w:rtl/>
          <w:szCs w:val="32"/>
          <w:bCs/>
        </w:rPr>
        <w:t>🧺 בנק מילים: דחיפה  ·  משיכה  ·  הגירה</w:t>
      </w:r>
    </w:p>
    <w:p>
      <w:pPr>
        <w:bidi/>
        <w:pStyle w:val="Heading2"/>
        <w:spacing w:after="80"/>
        <w:jc w:val="right"/>
      </w:pPr>
      <w:r>
        <w:rPr>
          <w:rFonts w:ascii="Arial" w:hAnsi="Arial" w:cs="Arial" w:eastAsia="Arial"/>
          <w:lang w:val="he-IL" w:bidi="he-IL"/>
          <w:b/>
          <w:color w:val="E53E3E"/>
          <w:sz w:val="36"/>
          <w:rtl/>
          <w:szCs w:val="36"/>
          <w:bCs/>
        </w:rPr>
        <w:t>1  חלק א׳ – הבנת המושגים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הגירה?</w:t>
      </w:r>
    </w:p>
    <w:p>
      <w:pPr>
        <w:bidi/>
        <w:spacing w:after="20"/>
        <w:jc w:val="right"/>
      </w:pPr>
      <w:r>
        <w:rPr>
          <w:rFonts w:ascii="Arial" w:hAnsi="Arial" w:cs="Arial" w:eastAsia="Arial"/>
          <w:lang w:val="he-IL" w:bidi="he-IL"/>
          <w:sz w:val="32"/>
          <w:rtl/>
          <w:szCs w:val="32"/>
        </w:rPr>
        <w:t xml:space="preserve">      ☐ א. טיול קצר לחופשה</w:t>
      </w:r>
    </w:p>
    <w:p>
      <w:pPr>
        <w:bidi/>
        <w:spacing w:after="20"/>
        <w:jc w:val="right"/>
      </w:pPr>
      <w:r>
        <w:rPr>
          <w:rFonts w:ascii="Arial" w:hAnsi="Arial" w:cs="Arial" w:eastAsia="Arial"/>
          <w:lang w:val="he-IL" w:bidi="he-IL"/>
          <w:sz w:val="32"/>
          <w:rtl/>
          <w:szCs w:val="32"/>
        </w:rPr>
        <w:t xml:space="preserve">      ☐ ב. מעבר קבוע או ארוך טווח ממקום מגורים אחד לאחר</w:t>
      </w:r>
    </w:p>
    <w:p>
      <w:pPr>
        <w:bidi/>
        <w:spacing w:after="20"/>
        <w:jc w:val="right"/>
      </w:pPr>
      <w:r>
        <w:rPr>
          <w:rFonts w:ascii="Arial" w:hAnsi="Arial" w:cs="Arial" w:eastAsia="Arial"/>
          <w:lang w:val="he-IL" w:bidi="he-IL"/>
          <w:sz w:val="32"/>
          <w:rtl/>
          <w:szCs w:val="32"/>
        </w:rPr>
        <w:t xml:space="preserve">      ☐ ג. נסיעה יומית לעבודה</w:t>
      </w:r>
    </w:p>
    <w:p>
      <w:pPr>
        <w:bidi/>
        <w:spacing w:after="20"/>
        <w:jc w:val="right"/>
      </w:pPr>
      <w:r>
        <w:rPr>
          <w:rFonts w:ascii="Arial" w:hAnsi="Arial" w:cs="Arial" w:eastAsia="Arial"/>
          <w:lang w:val="he-IL" w:bidi="he-IL"/>
          <w:b/>
          <w:sz w:val="32"/>
          <w:rtl/>
          <w:szCs w:val="32"/>
          <w:bCs/>
        </w:rPr>
        <w:t>2. מהם גורמי דחיפה?</w:t>
      </w:r>
    </w:p>
    <w:p>
      <w:pPr>
        <w:bidi/>
        <w:spacing w:after="20"/>
        <w:jc w:val="right"/>
      </w:pPr>
      <w:r>
        <w:rPr>
          <w:rFonts w:ascii="Arial" w:hAnsi="Arial" w:cs="Arial" w:eastAsia="Arial"/>
          <w:lang w:val="he-IL" w:bidi="he-IL"/>
          <w:sz w:val="32"/>
          <w:rtl/>
          <w:szCs w:val="32"/>
        </w:rPr>
        <w:t xml:space="preserve">      ☐ א. דברים שמושכים ליעד החדש</w:t>
      </w:r>
    </w:p>
    <w:p>
      <w:pPr>
        <w:bidi/>
        <w:spacing w:after="20"/>
        <w:jc w:val="right"/>
      </w:pPr>
      <w:r>
        <w:rPr>
          <w:rFonts w:ascii="Arial" w:hAnsi="Arial" w:cs="Arial" w:eastAsia="Arial"/>
          <w:lang w:val="he-IL" w:bidi="he-IL"/>
          <w:sz w:val="32"/>
          <w:rtl/>
          <w:szCs w:val="32"/>
        </w:rPr>
        <w:t xml:space="preserve">      ☐ ב. תנאים במקום המוצא שגורמים לעזוב</w:t>
      </w:r>
    </w:p>
    <w:p>
      <w:pPr>
        <w:bidi/>
        <w:spacing w:after="20"/>
        <w:jc w:val="right"/>
      </w:pPr>
      <w:r>
        <w:rPr>
          <w:rFonts w:ascii="Arial" w:hAnsi="Arial" w:cs="Arial" w:eastAsia="Arial"/>
          <w:lang w:val="he-IL" w:bidi="he-IL"/>
          <w:sz w:val="32"/>
          <w:rtl/>
          <w:szCs w:val="32"/>
        </w:rPr>
        <w:t xml:space="preserve">      ☐ ג. כוחות טבע בלבד</w:t>
      </w:r>
    </w:p>
    <w:p>
      <w:pPr>
        <w:bidi/>
        <w:spacing w:after="20"/>
        <w:jc w:val="right"/>
      </w:pPr>
      <w:r>
        <w:rPr>
          <w:rFonts w:ascii="Arial" w:hAnsi="Arial" w:cs="Arial" w:eastAsia="Arial"/>
          <w:lang w:val="he-IL" w:bidi="he-IL"/>
          <w:b/>
          <w:sz w:val="32"/>
          <w:rtl/>
          <w:szCs w:val="32"/>
          <w:bCs/>
        </w:rPr>
        <w:t>3. מהם גורמי משיכה?</w:t>
      </w:r>
    </w:p>
    <w:p>
      <w:pPr>
        <w:bidi/>
        <w:spacing w:after="20"/>
        <w:jc w:val="right"/>
      </w:pPr>
      <w:r>
        <w:rPr>
          <w:rFonts w:ascii="Arial" w:hAnsi="Arial" w:cs="Arial" w:eastAsia="Arial"/>
          <w:lang w:val="he-IL" w:bidi="he-IL"/>
          <w:sz w:val="32"/>
          <w:rtl/>
          <w:szCs w:val="32"/>
        </w:rPr>
        <w:t xml:space="preserve">      ☐ א. דברים שמרחיקים מהמקום המקורי</w:t>
      </w:r>
    </w:p>
    <w:p>
      <w:pPr>
        <w:bidi/>
        <w:spacing w:after="20"/>
        <w:jc w:val="right"/>
      </w:pPr>
      <w:r>
        <w:rPr>
          <w:rFonts w:ascii="Arial" w:hAnsi="Arial" w:cs="Arial" w:eastAsia="Arial"/>
          <w:lang w:val="he-IL" w:bidi="he-IL"/>
          <w:sz w:val="32"/>
          <w:rtl/>
          <w:szCs w:val="32"/>
        </w:rPr>
        <w:t xml:space="preserve">      ☐ ב. דברים שמושכים אנשים ליעד החדש</w:t>
      </w:r>
    </w:p>
    <w:p>
      <w:pPr>
        <w:bidi/>
        <w:spacing w:after="20"/>
        <w:jc w:val="right"/>
      </w:pPr>
      <w:r>
        <w:rPr>
          <w:rFonts w:ascii="Arial" w:hAnsi="Arial" w:cs="Arial" w:eastAsia="Arial"/>
          <w:lang w:val="he-IL" w:bidi="he-IL"/>
          <w:sz w:val="32"/>
          <w:rtl/>
          <w:szCs w:val="32"/>
        </w:rPr>
        <w:t xml:space="preserve">      ☐ ג. מלחמות ואסונות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הגירה היא תמיד מעבר זמני וקצר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מלחמה ורעב הם דוגמאות לגורמי דחיפה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עבודה טובה וביטחון הם דוגמאות לגורמי משיכה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מעבר קבוע או ארוך טווח ממקום מגורים אחד לאחר נקרא __________</w:t>
      </w:r>
    </w:p>
    <w:p>
      <w:pPr>
        <w:bidi/>
        <w:spacing w:after="80"/>
        <w:jc w:val="right"/>
      </w:pPr>
      <w:r>
        <w:rPr>
          <w:rFonts w:ascii="Arial" w:hAnsi="Arial" w:cs="Arial" w:eastAsia="Arial"/>
          <w:lang w:val="he-IL" w:bidi="he-IL"/>
          <w:sz w:val="32"/>
          <w:rtl/>
          <w:szCs w:val="32"/>
        </w:rPr>
        <w:t>2. תנאים במקום המוצא הדוחפים אנשים לעזוב נקראים גורמי __________</w:t>
      </w:r>
    </w:p>
    <w:p>
      <w:pPr>
        <w:bidi/>
        <w:spacing w:after="80"/>
        <w:jc w:val="right"/>
      </w:pPr>
      <w:r>
        <w:rPr>
          <w:rFonts w:ascii="Arial" w:hAnsi="Arial" w:cs="Arial" w:eastAsia="Arial"/>
          <w:lang w:val="he-IL" w:bidi="he-IL"/>
          <w:sz w:val="32"/>
          <w:rtl/>
          <w:szCs w:val="32"/>
        </w:rPr>
        <w:t>3. דברים שמושכים אנשים ליעד חדש נקראים גורמי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דוגמה לסוג הגורם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מלחמה באזור המגורים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גורם דחיפה</w:t>
            </w:r>
          </w:p>
        </w:tc>
      </w:tr>
      <w:tr>
        <w:tc>
          <w:tcPr>
            <w:tcW w:type="dxa" w:w="3969"/>
          </w:tcPr>
          <w:p>
            <w:pPr>
              <w:bidi/>
              <w:jc w:val="right"/>
            </w:pPr>
            <w:r>
              <w:rPr>
                <w:rFonts w:ascii="Arial" w:hAnsi="Arial" w:cs="Arial" w:eastAsia="Arial"/>
                <w:lang w:val="he-IL" w:bidi="he-IL"/>
                <w:sz w:val="32"/>
                <w:rtl/>
                <w:szCs w:val="32"/>
              </w:rPr>
              <w:t>2. הצעת עבודה טובה בחו"ל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גורם משיכה</w:t>
            </w:r>
          </w:p>
        </w:tc>
      </w:tr>
      <w:tr>
        <w:tc>
          <w:tcPr>
            <w:tcW w:type="dxa" w:w="3969"/>
          </w:tcPr>
          <w:p>
            <w:pPr>
              <w:bidi/>
              <w:jc w:val="right"/>
            </w:pPr>
            <w:r>
              <w:rPr>
                <w:rFonts w:ascii="Arial" w:hAnsi="Arial" w:cs="Arial" w:eastAsia="Arial"/>
                <w:lang w:val="he-IL" w:bidi="he-IL"/>
                <w:sz w:val="32"/>
                <w:rtl/>
                <w:szCs w:val="32"/>
              </w:rPr>
              <w:t>3. רדיפה דתית או פוליטית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גורם דחיפה</w:t>
            </w:r>
          </w:p>
        </w:tc>
      </w:tr>
      <w:tr>
        <w:tc>
          <w:tcPr>
            <w:tcW w:type="dxa" w:w="3969"/>
          </w:tcPr>
          <w:p>
            <w:pPr>
              <w:bidi/>
              <w:jc w:val="right"/>
            </w:pPr>
            <w:r>
              <w:rPr>
                <w:rFonts w:ascii="Arial" w:hAnsi="Arial" w:cs="Arial" w:eastAsia="Arial"/>
                <w:lang w:val="he-IL" w:bidi="he-IL"/>
                <w:sz w:val="32"/>
                <w:rtl/>
                <w:szCs w:val="32"/>
              </w:rPr>
              <w:t>4. חינוך איכותי במדינה החדשה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גורם משיכה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מסע ההגירה – סדרו לפי השלבים ההגיוניים</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שמיעה על הזדמנויות במקום אחר (גורמי משיכה)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קיום תנאים קשים במקום המוצא (גורמי דחיפה)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המעבר עצמו למקום החדש</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החלטה לעזוב ולתכנן את המעבר</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חשיבה וכתיבה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שני גורמי דחיפה ושני גורמי משיכה, ולכל אחד דוגמה אמיתית ממדינה או תקופה מוכרת.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מהו ההבדל בין גורם דחיפה לגורם משיכה?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אחת לפליט ודוגמה אחת למהגר מרצון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הגירה – אנשים נעים במרחב</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